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00"/>
        <w:rPr>
          <w:rFonts w:hint="eastAsia" w:ascii="Times New Roman" w:hAnsi="Times New Roman" w:eastAsia="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pPr>
        <w:spacing w:afterLines="100"/>
        <w:rPr>
          <w:rFonts w:ascii="Times New Roman" w:hAnsi="Times New Roman" w:eastAsia="仿宋_GB2312"/>
          <w:kern w:val="0"/>
          <w:sz w:val="32"/>
          <w:szCs w:val="32"/>
        </w:rPr>
      </w:pPr>
    </w:p>
    <w:p>
      <w:pPr>
        <w:spacing w:afterLines="100"/>
        <w:rPr>
          <w:rFonts w:ascii="Times New Roman" w:hAnsi="Times New Roman" w:eastAsia="仿宋_GB2312"/>
          <w:kern w:val="0"/>
          <w:sz w:val="32"/>
          <w:szCs w:val="32"/>
        </w:rPr>
      </w:pPr>
    </w:p>
    <w:p>
      <w:pPr>
        <w:rPr>
          <w:rFonts w:ascii="Times New Roman" w:hAnsi="Times New Roman" w:eastAsia="方正小标宋简体"/>
          <w:sz w:val="48"/>
          <w:szCs w:val="48"/>
        </w:rPr>
      </w:pPr>
    </w:p>
    <w:p>
      <w:pPr>
        <w:rPr>
          <w:rFonts w:ascii="Times New Roman" w:hAnsi="Times New Roman" w:eastAsia="方正小标宋简体"/>
          <w:sz w:val="48"/>
          <w:szCs w:val="48"/>
        </w:rPr>
      </w:pPr>
    </w:p>
    <w:p>
      <w:pPr>
        <w:jc w:val="center"/>
        <w:rPr>
          <w:rFonts w:ascii="Times New Roman" w:hAnsi="Times New Roman" w:eastAsia="方正小标宋简体"/>
          <w:sz w:val="48"/>
          <w:szCs w:val="48"/>
        </w:rPr>
      </w:pPr>
      <w:r>
        <w:rPr>
          <w:rFonts w:ascii="Times New Roman" w:hAnsi="Times New Roman" w:eastAsia="方正小标宋简体"/>
          <w:sz w:val="48"/>
          <w:szCs w:val="48"/>
        </w:rPr>
        <w:t>部门整体支出绩效自评报告</w:t>
      </w:r>
    </w:p>
    <w:p>
      <w:pPr>
        <w:jc w:val="center"/>
        <w:rPr>
          <w:rFonts w:ascii="Times New Roman" w:hAnsi="Times New Roman" w:eastAsia="方正小标宋简体"/>
          <w:sz w:val="36"/>
          <w:szCs w:val="36"/>
        </w:rPr>
      </w:pPr>
      <w:r>
        <w:rPr>
          <w:rFonts w:hint="eastAsia" w:ascii="Times New Roman" w:hAnsi="Times New Roman" w:eastAsia="方正小标宋简体"/>
          <w:sz w:val="36"/>
          <w:szCs w:val="36"/>
        </w:rPr>
        <w:t>（</w:t>
      </w:r>
      <w:r>
        <w:rPr>
          <w:rFonts w:hint="eastAsia" w:ascii="Times New Roman" w:hAnsi="Times New Roman" w:eastAsia="方正小标宋简体"/>
          <w:sz w:val="36"/>
          <w:szCs w:val="36"/>
          <w:lang w:eastAsia="zh-CN"/>
        </w:rPr>
        <w:t>2024</w:t>
      </w:r>
      <w:r>
        <w:rPr>
          <w:rFonts w:ascii="Times New Roman" w:hAnsi="Times New Roman" w:eastAsia="方正小标宋简体"/>
          <w:sz w:val="36"/>
          <w:szCs w:val="36"/>
        </w:rPr>
        <w:t>年度</w:t>
      </w:r>
      <w:r>
        <w:rPr>
          <w:rFonts w:hint="eastAsia" w:ascii="Times New Roman" w:hAnsi="Times New Roman" w:eastAsia="方正小标宋简体"/>
          <w:sz w:val="36"/>
          <w:szCs w:val="36"/>
        </w:rPr>
        <w:t>）</w:t>
      </w: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rPr>
          <w:rFonts w:ascii="Times New Roman" w:hAnsi="Times New Roman" w:eastAsia="黑体"/>
          <w:sz w:val="32"/>
          <w:szCs w:val="32"/>
        </w:rPr>
      </w:pPr>
    </w:p>
    <w:p>
      <w:pPr>
        <w:jc w:val="center"/>
        <w:rPr>
          <w:rFonts w:ascii="Times New Roman" w:hAnsi="Times New Roman"/>
          <w:sz w:val="36"/>
          <w:szCs w:val="36"/>
        </w:rPr>
      </w:pPr>
    </w:p>
    <w:p>
      <w:pPr>
        <w:jc w:val="center"/>
        <w:rPr>
          <w:rFonts w:ascii="Times New Roman" w:hAnsi="Times New Roman"/>
          <w:sz w:val="36"/>
          <w:szCs w:val="36"/>
        </w:rPr>
      </w:pPr>
    </w:p>
    <w:p>
      <w:pPr>
        <w:jc w:val="center"/>
        <w:rPr>
          <w:rFonts w:ascii="Times New Roman" w:hAnsi="Times New Roman"/>
          <w:sz w:val="36"/>
          <w:szCs w:val="36"/>
        </w:rPr>
      </w:pPr>
    </w:p>
    <w:p>
      <w:pPr>
        <w:jc w:val="center"/>
        <w:rPr>
          <w:rFonts w:ascii="Times New Roman" w:hAnsi="Times New Roman"/>
          <w:sz w:val="36"/>
          <w:szCs w:val="36"/>
        </w:rPr>
      </w:pPr>
      <w:r>
        <w:rPr>
          <w:rFonts w:ascii="Times New Roman" w:hAnsi="Times New Roman"/>
          <w:sz w:val="36"/>
          <w:szCs w:val="36"/>
        </w:rPr>
        <w:t>单位名称</w:t>
      </w:r>
      <w:r>
        <w:rPr>
          <w:rFonts w:hint="eastAsia" w:ascii="Times New Roman" w:hAnsi="Times New Roman"/>
          <w:sz w:val="36"/>
          <w:szCs w:val="36"/>
        </w:rPr>
        <w:t>：（盖章）</w:t>
      </w:r>
    </w:p>
    <w:p>
      <w:pPr>
        <w:jc w:val="center"/>
        <w:rPr>
          <w:rFonts w:ascii="Times New Roman" w:hAnsi="Times New Roman" w:eastAsia="黑体"/>
          <w:sz w:val="36"/>
          <w:szCs w:val="36"/>
        </w:rPr>
      </w:pPr>
      <w:r>
        <w:rPr>
          <w:rFonts w:hint="eastAsia" w:ascii="Times New Roman" w:hAnsi="Times New Roman"/>
          <w:sz w:val="36"/>
          <w:szCs w:val="36"/>
        </w:rPr>
        <w:t>主要负责人签字</w:t>
      </w:r>
      <w:r>
        <w:rPr>
          <w:rFonts w:ascii="Times New Roman" w:hAnsi="Times New Roman"/>
          <w:sz w:val="36"/>
          <w:szCs w:val="36"/>
        </w:rPr>
        <w:t>：</w:t>
      </w:r>
    </w:p>
    <w:p>
      <w:pPr>
        <w:jc w:val="center"/>
        <w:rPr>
          <w:rFonts w:ascii="Times New Roman" w:hAnsi="Times New Roman" w:eastAsia="黑体"/>
          <w:sz w:val="36"/>
          <w:szCs w:val="36"/>
        </w:rPr>
      </w:pPr>
    </w:p>
    <w:p>
      <w:pPr>
        <w:jc w:val="center"/>
        <w:rPr>
          <w:rFonts w:ascii="Times New Roman" w:hAnsi="Times New Roman" w:eastAsia="黑体"/>
          <w:sz w:val="32"/>
          <w:szCs w:val="32"/>
        </w:rPr>
      </w:pPr>
      <w:r>
        <w:rPr>
          <w:rFonts w:hint="eastAsia" w:ascii="Times New Roman" w:hAnsi="Times New Roman" w:eastAsia="黑体"/>
          <w:sz w:val="32"/>
          <w:szCs w:val="32"/>
          <w:lang w:val="en-US" w:eastAsia="zh-CN"/>
        </w:rPr>
        <w:t>2025年 02 月 28 日</w:t>
      </w:r>
    </w:p>
    <w:p>
      <w:pPr>
        <w:jc w:val="center"/>
        <w:rPr>
          <w:rFonts w:ascii="Times New Roman" w:hAnsi="Times New Roman" w:eastAsia="黑体"/>
          <w:sz w:val="32"/>
          <w:szCs w:val="32"/>
        </w:rPr>
      </w:pPr>
    </w:p>
    <w:p>
      <w:pPr>
        <w:spacing w:line="600" w:lineRule="exact"/>
        <w:rPr>
          <w:rFonts w:ascii="Times New Roman" w:hAnsi="Times New Roman" w:eastAsia="方正小标宋简体"/>
          <w:sz w:val="44"/>
          <w:szCs w:val="44"/>
        </w:rPr>
      </w:pPr>
    </w:p>
    <w:p>
      <w:pPr>
        <w:spacing w:line="600" w:lineRule="exact"/>
        <w:jc w:val="center"/>
        <w:rPr>
          <w:rFonts w:ascii="Times New Roman" w:hAnsi="Times New Roman" w:eastAsia="方正小标宋简体"/>
          <w:sz w:val="44"/>
          <w:szCs w:val="44"/>
        </w:rPr>
      </w:pPr>
    </w:p>
    <w:p>
      <w:pPr>
        <w:spacing w:line="600" w:lineRule="exact"/>
        <w:jc w:val="center"/>
        <w:rPr>
          <w:rFonts w:ascii="Times New Roman" w:hAnsi="Times New Roman" w:eastAsia="方正小标宋简体"/>
          <w:sz w:val="44"/>
          <w:szCs w:val="44"/>
        </w:rPr>
      </w:pPr>
    </w:p>
    <w:p>
      <w:pPr>
        <w:spacing w:line="600" w:lineRule="exact"/>
        <w:jc w:val="center"/>
        <w:rPr>
          <w:rFonts w:hint="eastAsia" w:ascii="Times New Roman" w:hAnsi="Times New Roman" w:eastAsia="方正小标宋简体"/>
          <w:sz w:val="44"/>
          <w:szCs w:val="44"/>
        </w:rPr>
      </w:pPr>
      <w:r>
        <w:rPr>
          <w:rFonts w:hint="eastAsia" w:ascii="Times New Roman" w:hAnsi="Times New Roman" w:eastAsia="方正小标宋_GBK"/>
          <w:sz w:val="44"/>
          <w:szCs w:val="44"/>
          <w:lang w:eastAsia="zh-CN"/>
        </w:rPr>
        <w:t>2024</w:t>
      </w:r>
      <w:r>
        <w:rPr>
          <w:rFonts w:ascii="Times New Roman" w:hAnsi="Times New Roman" w:eastAsia="方正小标宋_GBK"/>
          <w:sz w:val="44"/>
          <w:szCs w:val="44"/>
        </w:rPr>
        <w:t>年</w:t>
      </w:r>
      <w:r>
        <w:rPr>
          <w:rFonts w:hint="eastAsia" w:ascii="Times New Roman" w:hAnsi="Times New Roman" w:eastAsia="方正小标宋_GBK"/>
          <w:sz w:val="44"/>
          <w:szCs w:val="44"/>
        </w:rPr>
        <w:t>度</w:t>
      </w:r>
      <w:r>
        <w:rPr>
          <w:rFonts w:hint="eastAsia" w:ascii="Times New Roman" w:hAnsi="Times New Roman" w:eastAsia="方正小标宋简体"/>
          <w:sz w:val="44"/>
          <w:szCs w:val="44"/>
        </w:rPr>
        <w:t>衡阳市生态环境局南岳分局</w:t>
      </w:r>
    </w:p>
    <w:p>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pPr>
        <w:rPr>
          <w:rFonts w:ascii="Times New Roman" w:hAnsi="Times New Roman" w:eastAsia="方正小标宋_GBK"/>
          <w:sz w:val="32"/>
          <w:szCs w:val="32"/>
        </w:rPr>
      </w:pPr>
    </w:p>
    <w:p>
      <w:pPr>
        <w:pStyle w:val="5"/>
        <w:widowControl/>
        <w:numPr>
          <w:ilvl w:val="0"/>
          <w:numId w:val="1"/>
        </w:numPr>
        <w:ind w:firstLine="640"/>
        <w:rPr>
          <w:rFonts w:eastAsia="黑体"/>
          <w:sz w:val="32"/>
          <w:szCs w:val="32"/>
        </w:rPr>
      </w:pPr>
      <w:r>
        <w:rPr>
          <w:rFonts w:eastAsia="黑体"/>
          <w:sz w:val="32"/>
          <w:szCs w:val="32"/>
        </w:rPr>
        <w:t>部门、单位基本情况</w:t>
      </w:r>
    </w:p>
    <w:p>
      <w:pPr>
        <w:snapToGrid w:val="0"/>
        <w:spacing w:line="540" w:lineRule="exact"/>
        <w:ind w:firstLine="627" w:firstLineChars="196"/>
        <w:rPr>
          <w:rFonts w:eastAsia="仿宋_GB2312"/>
          <w:b/>
          <w:sz w:val="32"/>
          <w:szCs w:val="32"/>
        </w:rPr>
      </w:pPr>
      <w:r>
        <w:rPr>
          <w:rFonts w:hint="eastAsia" w:ascii="Times New Roman" w:hAnsi="Times New Roman" w:eastAsia="仿宋"/>
          <w:sz w:val="32"/>
          <w:szCs w:val="32"/>
        </w:rPr>
        <w:t>（一）</w:t>
      </w:r>
      <w:r>
        <w:rPr>
          <w:rFonts w:eastAsia="仿宋_GB2312"/>
          <w:b/>
          <w:sz w:val="32"/>
          <w:szCs w:val="32"/>
        </w:rPr>
        <w:t>主要职能。</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（1）负责建立健全生态环境基本制度。</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（2）负责重大生态环境问题的统筹协调和监督管理。</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（3）负责监督管理减排目标的落实。</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（4）负责提出生态环境领域固定资产投资规模和方向、财政性资金安排的意见。</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（5）负责环境污染防治的监督管理。</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（6）指导协调和监督生态保护修复工作。</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（7）负责核与辐射安全的监督管理。</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（8）负责生态环境准入的监督管理。</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（9）负责生态环境监测工作。</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（10）负责应对气候变化工作。组织拟订应对气候变化及温室气体减排重大战略、规划和政策。</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（11）组织开展生态环境保护督察。</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（12）统一负责生态环境监督执法。组织开展生态环境保护执法检查活动。</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（13）组织指导和协调生态环境宣传教育工作。</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（14）开展生态环境合作交流，研究提出生态环境合作中有关问题的建议。</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15）统一行使生态和城乡各类污染排放监管与行政执法职责，切实履行监管责任，全面落实大气、水、土壤污染防治行动计划，全面禁止洋垃圾入境。构建政府为主导、企业为主体、社会组织和公众共同参与的生态环境治理体系，实行最严格的生态环境保护制度，严守生态保护红线和环境质量底线，坚决打好污染防治攻坚战。</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r>
        <w:rPr>
          <w:rFonts w:eastAsia="仿宋_GB2312"/>
          <w:kern w:val="2"/>
          <w:sz w:val="32"/>
          <w:szCs w:val="32"/>
        </w:rPr>
        <w:t>（16）完成上级部门的其他任务。</w:t>
      </w:r>
    </w:p>
    <w:p>
      <w:pPr>
        <w:snapToGrid w:val="0"/>
        <w:spacing w:line="540" w:lineRule="exact"/>
        <w:ind w:firstLine="627" w:firstLineChars="196"/>
        <w:rPr>
          <w:rFonts w:eastAsia="仿宋_GB2312"/>
          <w:b/>
          <w:sz w:val="32"/>
          <w:szCs w:val="32"/>
        </w:rPr>
      </w:pPr>
      <w:r>
        <w:rPr>
          <w:rFonts w:hint="eastAsia" w:ascii="Times New Roman" w:hAnsi="Times New Roman" w:eastAsia="仿宋"/>
          <w:sz w:val="32"/>
          <w:szCs w:val="32"/>
        </w:rPr>
        <w:t>（</w:t>
      </w:r>
      <w:r>
        <w:rPr>
          <w:rFonts w:hint="eastAsia" w:ascii="Times New Roman" w:hAnsi="Times New Roman" w:eastAsia="仿宋"/>
          <w:sz w:val="32"/>
          <w:szCs w:val="32"/>
          <w:lang w:eastAsia="zh-CN"/>
        </w:rPr>
        <w:t>二</w:t>
      </w:r>
      <w:r>
        <w:rPr>
          <w:rFonts w:hint="eastAsia" w:ascii="Times New Roman" w:hAnsi="Times New Roman" w:eastAsia="仿宋"/>
          <w:sz w:val="32"/>
          <w:szCs w:val="32"/>
        </w:rPr>
        <w:t>）</w:t>
      </w:r>
      <w:r>
        <w:rPr>
          <w:rFonts w:eastAsia="仿宋_GB2312"/>
          <w:b/>
          <w:sz w:val="32"/>
          <w:szCs w:val="32"/>
        </w:rPr>
        <w:t>机构情况。</w:t>
      </w:r>
    </w:p>
    <w:p>
      <w:pPr>
        <w:keepNext w:val="0"/>
        <w:keepLines w:val="0"/>
        <w:pageBreakBefore w:val="0"/>
        <w:kinsoku/>
        <w:wordWrap/>
        <w:overflowPunct/>
        <w:topLinePunct w:val="0"/>
        <w:bidi w:val="0"/>
        <w:snapToGrid w:val="0"/>
        <w:spacing w:line="360" w:lineRule="auto"/>
        <w:ind w:firstLine="600" w:firstLineChars="20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衡阳市生态环境局内南岳分局设机构有：办公室、综合股、污染防治股、土壤与固废管理监测股、环境影响评价与自然生态股、党建办。</w:t>
      </w:r>
    </w:p>
    <w:p>
      <w:pPr>
        <w:keepNext w:val="0"/>
        <w:keepLines w:val="0"/>
        <w:pageBreakBefore w:val="0"/>
        <w:kinsoku/>
        <w:wordWrap/>
        <w:overflowPunct/>
        <w:topLinePunct w:val="0"/>
        <w:bidi w:val="0"/>
        <w:snapToGrid w:val="0"/>
        <w:spacing w:line="360" w:lineRule="auto"/>
        <w:ind w:firstLine="600" w:firstLineChars="200"/>
        <w:jc w:val="both"/>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其中非独立核算的二级机构有：南岳生态环境保护综合行 政执法大队、南岳生态环境事务中心。</w:t>
      </w:r>
    </w:p>
    <w:p>
      <w:pPr>
        <w:pStyle w:val="2"/>
        <w:shd w:val="clear" w:color="auto" w:fill="FFFFFF"/>
        <w:snapToGrid w:val="0"/>
        <w:spacing w:before="0" w:beforeAutospacing="0" w:after="0" w:afterAutospacing="0" w:line="540" w:lineRule="exact"/>
        <w:ind w:firstLine="627" w:firstLineChars="196"/>
        <w:rPr>
          <w:rFonts w:eastAsia="仿宋_GB2312"/>
          <w:b/>
          <w:kern w:val="2"/>
          <w:sz w:val="32"/>
          <w:szCs w:val="32"/>
        </w:rPr>
      </w:pPr>
      <w:r>
        <w:rPr>
          <w:rFonts w:hint="eastAsia" w:ascii="Times New Roman" w:hAnsi="Times New Roman" w:eastAsia="仿宋"/>
          <w:sz w:val="32"/>
          <w:szCs w:val="32"/>
        </w:rPr>
        <w:t>（</w:t>
      </w:r>
      <w:r>
        <w:rPr>
          <w:rFonts w:hint="eastAsia" w:ascii="Times New Roman" w:hAnsi="Times New Roman" w:eastAsia="仿宋"/>
          <w:sz w:val="32"/>
          <w:szCs w:val="32"/>
          <w:lang w:eastAsia="zh-CN"/>
        </w:rPr>
        <w:t>三</w:t>
      </w:r>
      <w:r>
        <w:rPr>
          <w:rFonts w:hint="eastAsia" w:ascii="Times New Roman" w:hAnsi="Times New Roman" w:eastAsia="仿宋"/>
          <w:sz w:val="32"/>
          <w:szCs w:val="32"/>
        </w:rPr>
        <w:t>）</w:t>
      </w:r>
      <w:r>
        <w:rPr>
          <w:rFonts w:eastAsia="仿宋_GB2312"/>
          <w:b/>
          <w:kern w:val="2"/>
          <w:sz w:val="32"/>
          <w:szCs w:val="32"/>
        </w:rPr>
        <w:t>人员情况。</w:t>
      </w:r>
    </w:p>
    <w:p>
      <w:pPr>
        <w:pStyle w:val="2"/>
        <w:shd w:val="clear" w:color="auto" w:fill="FFFFFF"/>
        <w:snapToGrid w:val="0"/>
        <w:spacing w:before="0" w:beforeAutospacing="0" w:after="0" w:afterAutospacing="0" w:line="540" w:lineRule="exact"/>
        <w:ind w:firstLine="640" w:firstLineChars="200"/>
        <w:rPr>
          <w:rFonts w:eastAsia="仿宋_GB2312"/>
          <w:kern w:val="2"/>
          <w:sz w:val="32"/>
          <w:szCs w:val="32"/>
        </w:rPr>
      </w:pPr>
      <w:bookmarkStart w:id="0" w:name="_GoBack"/>
      <w:r>
        <w:rPr>
          <w:rFonts w:eastAsia="仿宋_GB2312"/>
          <w:kern w:val="2"/>
          <w:sz w:val="32"/>
          <w:szCs w:val="32"/>
        </w:rPr>
        <w:t>年末实有编制人员</w:t>
      </w:r>
      <w:r>
        <w:rPr>
          <w:rFonts w:hint="eastAsia" w:eastAsia="仿宋_GB2312"/>
          <w:kern w:val="2"/>
          <w:sz w:val="32"/>
          <w:szCs w:val="32"/>
          <w:lang w:val="en-US" w:eastAsia="zh-CN"/>
        </w:rPr>
        <w:t>14</w:t>
      </w:r>
      <w:r>
        <w:rPr>
          <w:rFonts w:eastAsia="仿宋_GB2312"/>
          <w:kern w:val="2"/>
          <w:sz w:val="32"/>
          <w:szCs w:val="32"/>
        </w:rPr>
        <w:t>名</w:t>
      </w:r>
      <w:r>
        <w:rPr>
          <w:rFonts w:hint="eastAsia" w:eastAsia="仿宋_GB2312"/>
          <w:kern w:val="2"/>
          <w:sz w:val="32"/>
          <w:szCs w:val="32"/>
          <w:lang w:eastAsia="zh-CN"/>
        </w:rPr>
        <w:t>，</w:t>
      </w:r>
      <w:r>
        <w:rPr>
          <w:rFonts w:hint="eastAsia" w:eastAsia="仿宋_GB2312"/>
          <w:kern w:val="2"/>
          <w:sz w:val="32"/>
          <w:szCs w:val="32"/>
          <w:lang w:val="en-US" w:eastAsia="zh-CN"/>
        </w:rPr>
        <w:t>与上年持平</w:t>
      </w:r>
      <w:r>
        <w:rPr>
          <w:rFonts w:eastAsia="仿宋_GB2312"/>
          <w:kern w:val="2"/>
          <w:sz w:val="32"/>
          <w:szCs w:val="32"/>
        </w:rPr>
        <w:t>，其中行政编制5名。</w:t>
      </w:r>
    </w:p>
    <w:bookmarkEnd w:id="0"/>
    <w:p>
      <w:pPr>
        <w:pStyle w:val="5"/>
        <w:widowControl/>
        <w:ind w:firstLine="640"/>
        <w:rPr>
          <w:rFonts w:eastAsia="黑体"/>
          <w:sz w:val="32"/>
          <w:szCs w:val="32"/>
        </w:rPr>
      </w:pPr>
      <w:r>
        <w:rPr>
          <w:rFonts w:eastAsia="黑体"/>
          <w:sz w:val="32"/>
          <w:szCs w:val="32"/>
        </w:rPr>
        <w:t>二、一般公共预算支出情况</w:t>
      </w:r>
    </w:p>
    <w:p>
      <w:pPr>
        <w:pStyle w:val="5"/>
        <w:widowControl/>
        <w:ind w:firstLine="643"/>
        <w:rPr>
          <w:rFonts w:eastAsia="楷体"/>
          <w:b/>
          <w:sz w:val="32"/>
          <w:szCs w:val="32"/>
        </w:rPr>
      </w:pPr>
      <w:r>
        <w:rPr>
          <w:rFonts w:eastAsia="楷体"/>
          <w:b/>
          <w:sz w:val="32"/>
          <w:szCs w:val="32"/>
        </w:rPr>
        <w:t>（一）基本支出情况</w:t>
      </w:r>
    </w:p>
    <w:p>
      <w:pPr>
        <w:adjustRightInd w:val="0"/>
        <w:snapToGrid w:val="0"/>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基本支出系保障我局正常运转、完成日常工作任务而发生的各项支出，包括用于在职和离退休人员基本工资、津贴补贴等人员经费以及办公费、印刷费、水电费、办公设备购置等日常公用经费。</w:t>
      </w:r>
    </w:p>
    <w:p>
      <w:pPr>
        <w:adjustRightInd w:val="0"/>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2024</w:t>
      </w:r>
      <w:r>
        <w:rPr>
          <w:rFonts w:ascii="Times New Roman" w:hAnsi="Times New Roman" w:eastAsia="仿宋_GB2312"/>
          <w:sz w:val="32"/>
          <w:szCs w:val="32"/>
        </w:rPr>
        <w:t>年基本支出</w:t>
      </w:r>
      <w:r>
        <w:rPr>
          <w:rFonts w:hint="eastAsia" w:ascii="Times New Roman" w:hAnsi="Times New Roman" w:eastAsia="仿宋_GB2312"/>
          <w:sz w:val="32"/>
          <w:szCs w:val="32"/>
        </w:rPr>
        <w:t>170.15</w:t>
      </w:r>
      <w:r>
        <w:rPr>
          <w:rFonts w:ascii="Times New Roman" w:hAnsi="Times New Roman" w:eastAsia="仿宋_GB2312"/>
          <w:sz w:val="32"/>
          <w:szCs w:val="32"/>
        </w:rPr>
        <w:t>万元。</w:t>
      </w:r>
      <w:r>
        <w:rPr>
          <w:rFonts w:hint="eastAsia" w:ascii="Times New Roman" w:hAnsi="Times New Roman" w:eastAsia="仿宋_GB2312"/>
          <w:sz w:val="32"/>
          <w:szCs w:val="32"/>
          <w:lang w:eastAsia="zh-CN"/>
        </w:rPr>
        <w:t>其中：</w:t>
      </w:r>
      <w:r>
        <w:rPr>
          <w:rFonts w:ascii="Times New Roman" w:hAnsi="Times New Roman" w:eastAsia="仿宋_GB2312"/>
          <w:color w:val="000000"/>
          <w:sz w:val="32"/>
          <w:szCs w:val="32"/>
        </w:rPr>
        <w:t>人员经费</w:t>
      </w:r>
      <w:r>
        <w:rPr>
          <w:rFonts w:hint="eastAsia" w:ascii="Times New Roman" w:hAnsi="Times New Roman" w:eastAsia="仿宋_GB2312"/>
          <w:color w:val="000000"/>
          <w:sz w:val="32"/>
          <w:szCs w:val="32"/>
          <w:lang w:val="en-US" w:eastAsia="zh-CN"/>
        </w:rPr>
        <w:t>143.86</w:t>
      </w:r>
      <w:r>
        <w:rPr>
          <w:rFonts w:ascii="Times New Roman" w:hAnsi="Times New Roman" w:eastAsia="仿宋_GB2312"/>
          <w:color w:val="000000"/>
          <w:sz w:val="32"/>
          <w:szCs w:val="32"/>
        </w:rPr>
        <w:t>万元，</w:t>
      </w:r>
      <w:r>
        <w:rPr>
          <w:rFonts w:hint="eastAsia" w:ascii="Times New Roman" w:hAnsi="Times New Roman" w:eastAsia="仿宋_GB2312"/>
          <w:color w:val="000000"/>
          <w:sz w:val="32"/>
          <w:szCs w:val="32"/>
          <w:lang w:eastAsia="zh-CN"/>
        </w:rPr>
        <w:t>（工资福利费用支出</w:t>
      </w:r>
      <w:r>
        <w:rPr>
          <w:rFonts w:hint="eastAsia" w:ascii="Times New Roman" w:hAnsi="Times New Roman" w:eastAsia="仿宋_GB2312"/>
          <w:color w:val="000000"/>
          <w:sz w:val="32"/>
          <w:szCs w:val="32"/>
          <w:lang w:val="en-US" w:eastAsia="zh-CN"/>
        </w:rPr>
        <w:t>143.85万元）</w:t>
      </w:r>
      <w:r>
        <w:rPr>
          <w:rFonts w:ascii="Times New Roman" w:eastAsia="仿宋_GB2312"/>
          <w:sz w:val="32"/>
          <w:szCs w:val="32"/>
        </w:rPr>
        <w:t>；</w:t>
      </w:r>
      <w:r>
        <w:rPr>
          <w:rFonts w:ascii="Times New Roman" w:hAnsi="Times New Roman" w:eastAsia="仿宋_GB2312"/>
          <w:color w:val="000000"/>
          <w:sz w:val="32"/>
          <w:szCs w:val="32"/>
        </w:rPr>
        <w:t>日常公用经费</w:t>
      </w:r>
      <w:r>
        <w:rPr>
          <w:rFonts w:hint="eastAsia" w:ascii="Times New Roman" w:hAnsi="Times New Roman" w:eastAsia="仿宋_GB2312"/>
          <w:color w:val="000000"/>
          <w:sz w:val="32"/>
          <w:szCs w:val="32"/>
          <w:lang w:val="en-US" w:eastAsia="zh-CN"/>
        </w:rPr>
        <w:t>26.30</w:t>
      </w:r>
      <w:r>
        <w:rPr>
          <w:rFonts w:ascii="Times New Roman" w:hAnsi="Times New Roman" w:eastAsia="仿宋_GB2312"/>
          <w:color w:val="000000"/>
          <w:sz w:val="32"/>
          <w:szCs w:val="32"/>
        </w:rPr>
        <w:t>万元。</w:t>
      </w:r>
    </w:p>
    <w:p>
      <w:pPr>
        <w:pStyle w:val="5"/>
        <w:widowControl/>
        <w:ind w:firstLine="643"/>
        <w:rPr>
          <w:rFonts w:eastAsia="楷体"/>
          <w:b/>
          <w:sz w:val="32"/>
          <w:szCs w:val="32"/>
        </w:rPr>
      </w:pPr>
      <w:r>
        <w:rPr>
          <w:rFonts w:eastAsia="楷体"/>
          <w:b/>
          <w:sz w:val="32"/>
          <w:szCs w:val="32"/>
        </w:rPr>
        <w:t>（二）项目支出情况</w:t>
      </w:r>
    </w:p>
    <w:p>
      <w:pPr>
        <w:adjustRightInd w:val="0"/>
        <w:snapToGrid w:val="0"/>
        <w:spacing w:line="54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2024</w:t>
      </w:r>
      <w:r>
        <w:rPr>
          <w:rFonts w:hint="eastAsia" w:ascii="Times New Roman" w:hAnsi="Times New Roman" w:eastAsia="仿宋"/>
          <w:sz w:val="32"/>
          <w:szCs w:val="32"/>
        </w:rPr>
        <w:t>年度</w:t>
      </w:r>
      <w:r>
        <w:rPr>
          <w:rFonts w:hint="eastAsia" w:ascii="Times New Roman" w:hAnsi="Times New Roman" w:eastAsia="仿宋"/>
          <w:sz w:val="32"/>
          <w:szCs w:val="32"/>
          <w:lang w:val="en-US" w:eastAsia="zh-CN"/>
        </w:rPr>
        <w:t>市级项目年初预算84.67万元，</w:t>
      </w:r>
      <w:r>
        <w:rPr>
          <w:rFonts w:hint="eastAsia" w:ascii="Times New Roman" w:hAnsi="Times New Roman" w:eastAsia="仿宋"/>
          <w:sz w:val="32"/>
          <w:szCs w:val="32"/>
        </w:rPr>
        <w:t>实际发生支出</w:t>
      </w:r>
      <w:r>
        <w:rPr>
          <w:rFonts w:hint="eastAsia" w:ascii="Times New Roman" w:hAnsi="Times New Roman" w:eastAsia="仿宋"/>
          <w:sz w:val="32"/>
          <w:szCs w:val="32"/>
          <w:lang w:val="en-US" w:eastAsia="zh-CN"/>
        </w:rPr>
        <w:t>84.51</w:t>
      </w:r>
      <w:r>
        <w:rPr>
          <w:rFonts w:hint="eastAsia" w:ascii="Times New Roman" w:hAnsi="Times New Roman" w:eastAsia="仿宋"/>
          <w:sz w:val="32"/>
          <w:szCs w:val="32"/>
        </w:rPr>
        <w:t>万元</w:t>
      </w:r>
      <w:r>
        <w:rPr>
          <w:rFonts w:hint="eastAsia" w:ascii="Times New Roman" w:hAnsi="Times New Roman" w:eastAsia="仿宋"/>
          <w:sz w:val="32"/>
          <w:szCs w:val="32"/>
          <w:lang w:eastAsia="zh-CN"/>
        </w:rPr>
        <w:t>，</w:t>
      </w:r>
      <w:r>
        <w:rPr>
          <w:rFonts w:hint="eastAsia" w:ascii="Times New Roman" w:hAnsi="Times New Roman" w:eastAsia="仿宋"/>
          <w:sz w:val="32"/>
          <w:szCs w:val="32"/>
          <w:lang w:val="en-US" w:eastAsia="zh-CN"/>
        </w:rPr>
        <w:t>其中：</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 xml:space="preserve"> </w:t>
      </w:r>
      <w:r>
        <w:rPr>
          <w:rFonts w:hint="default" w:ascii="Times New Roman" w:hAnsi="Times New Roman" w:eastAsia="仿宋"/>
          <w:sz w:val="32"/>
          <w:szCs w:val="32"/>
          <w:lang w:val="en-US" w:eastAsia="zh-CN"/>
        </w:rPr>
        <w:t>202</w:t>
      </w:r>
      <w:r>
        <w:rPr>
          <w:rFonts w:hint="eastAsia" w:ascii="Times New Roman" w:hAnsi="Times New Roman" w:eastAsia="仿宋"/>
          <w:sz w:val="32"/>
          <w:szCs w:val="32"/>
          <w:lang w:val="en-US" w:eastAsia="zh-CN"/>
        </w:rPr>
        <w:t>4</w:t>
      </w:r>
      <w:r>
        <w:rPr>
          <w:rFonts w:hint="default" w:ascii="Times New Roman" w:hAnsi="Times New Roman" w:eastAsia="仿宋"/>
          <w:sz w:val="32"/>
          <w:szCs w:val="32"/>
          <w:lang w:val="en-US" w:eastAsia="zh-CN"/>
        </w:rPr>
        <w:t>年增人增资</w:t>
      </w:r>
      <w:r>
        <w:rPr>
          <w:rFonts w:hint="eastAsia" w:ascii="Times New Roman" w:hAnsi="Times New Roman" w:eastAsia="仿宋"/>
          <w:sz w:val="32"/>
          <w:szCs w:val="32"/>
          <w:lang w:val="en-US" w:eastAsia="zh-CN"/>
        </w:rPr>
        <w:t>，2024年年初预算0万元，实际支出0.97万元。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生态红线保护经费，2024年年初预算9.00万元，实际支出9.00万元。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日常环境监测与监察，2024年年初预算9.40万元，实际支出9.40万元。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开展环保专项整治行动工作经费，2024年年初预算9.00万元，实际支出9.00万元。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环保宣传费，2024年年初预算9.00万元，实际支出7.62万元。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环保执法补助费，2024年年初预算24.00万元，实际支出24.00万元。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监测实验室建设及维护，2024年年初预算7.00万元，实际支出4.77万元。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汽车尾气污染治理工作经费，2024年年初预算3.00万元，实际支出2.75万元。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扬尘污染治理，2024年年初预算6.00万元，实际支出6.00万元。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主要污染物总量减排工作经费，2024年年初预算5.00万元，实际支出5.00万元。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自然保护地监管工作经费，2024年年初预算5.00万元，实际支出5.00万元。</w:t>
      </w:r>
    </w:p>
    <w:p>
      <w:pPr>
        <w:numPr>
          <w:ilvl w:val="0"/>
          <w:numId w:val="2"/>
        </w:numPr>
        <w:adjustRightInd w:val="0"/>
        <w:snapToGrid w:val="0"/>
        <w:spacing w:line="540" w:lineRule="exact"/>
        <w:ind w:firstLine="320" w:firstLineChars="100"/>
        <w:rPr>
          <w:rFonts w:hint="eastAsia" w:ascii="Times New Roman" w:hAnsi="Times New Roman" w:eastAsia="仿宋"/>
          <w:sz w:val="32"/>
          <w:szCs w:val="32"/>
          <w:lang w:val="en-US" w:eastAsia="zh-CN"/>
        </w:rPr>
      </w:pPr>
      <w:r>
        <w:rPr>
          <w:rFonts w:hint="eastAsia" w:ascii="Times New Roman" w:hAnsi="Times New Roman" w:eastAsia="仿宋"/>
          <w:sz w:val="32"/>
          <w:szCs w:val="32"/>
          <w:lang w:val="en-US" w:eastAsia="zh-CN"/>
        </w:rPr>
        <w:t>非税返还，2024年年初预算0万元，实际支出1.00万元。</w:t>
      </w:r>
    </w:p>
    <w:p>
      <w:pPr>
        <w:pStyle w:val="5"/>
        <w:widowControl/>
        <w:ind w:firstLine="640"/>
        <w:rPr>
          <w:rFonts w:eastAsia="黑体"/>
          <w:sz w:val="32"/>
          <w:szCs w:val="32"/>
        </w:rPr>
      </w:pPr>
      <w:r>
        <w:rPr>
          <w:rFonts w:eastAsia="黑体"/>
          <w:sz w:val="32"/>
          <w:szCs w:val="32"/>
        </w:rPr>
        <w:t>三、政府性基金预算支出情况</w:t>
      </w:r>
    </w:p>
    <w:p>
      <w:pPr>
        <w:pStyle w:val="5"/>
        <w:widowControl/>
        <w:spacing w:line="600" w:lineRule="exact"/>
        <w:ind w:firstLine="640"/>
        <w:jc w:val="left"/>
        <w:rPr>
          <w:rFonts w:ascii="Times New Roman" w:hAnsi="Times New Roman" w:eastAsia="黑体"/>
          <w:sz w:val="32"/>
          <w:szCs w:val="32"/>
        </w:rPr>
      </w:pPr>
      <w:r>
        <w:rPr>
          <w:rFonts w:hint="eastAsia" w:ascii="Times New Roman" w:hAnsi="Times New Roman" w:eastAsia="黑体"/>
          <w:sz w:val="32"/>
          <w:szCs w:val="32"/>
        </w:rPr>
        <w:t>无</w:t>
      </w:r>
    </w:p>
    <w:p>
      <w:pPr>
        <w:pStyle w:val="5"/>
        <w:widowControl/>
        <w:numPr>
          <w:ilvl w:val="0"/>
          <w:numId w:val="3"/>
        </w:numPr>
        <w:ind w:firstLine="640"/>
        <w:rPr>
          <w:rFonts w:eastAsia="黑体"/>
          <w:sz w:val="32"/>
          <w:szCs w:val="32"/>
        </w:rPr>
      </w:pPr>
      <w:r>
        <w:rPr>
          <w:rFonts w:eastAsia="黑体"/>
          <w:sz w:val="32"/>
          <w:szCs w:val="32"/>
        </w:rPr>
        <w:t>国有资本经营预算支出情况</w:t>
      </w:r>
    </w:p>
    <w:p>
      <w:pPr>
        <w:pStyle w:val="5"/>
        <w:widowControl/>
        <w:spacing w:line="600" w:lineRule="exact"/>
        <w:ind w:firstLine="640"/>
        <w:jc w:val="left"/>
        <w:rPr>
          <w:rFonts w:ascii="Times New Roman" w:hAnsi="Times New Roman" w:eastAsia="黑体"/>
          <w:sz w:val="32"/>
          <w:szCs w:val="32"/>
        </w:rPr>
      </w:pPr>
      <w:r>
        <w:rPr>
          <w:rFonts w:hint="eastAsia" w:ascii="Times New Roman" w:hAnsi="Times New Roman" w:eastAsia="黑体"/>
          <w:sz w:val="32"/>
          <w:szCs w:val="32"/>
        </w:rPr>
        <w:t>无</w:t>
      </w:r>
    </w:p>
    <w:p>
      <w:pPr>
        <w:pStyle w:val="5"/>
        <w:widowControl/>
        <w:ind w:firstLine="640"/>
        <w:rPr>
          <w:rFonts w:eastAsia="黑体"/>
          <w:sz w:val="32"/>
          <w:szCs w:val="32"/>
        </w:rPr>
      </w:pPr>
      <w:r>
        <w:rPr>
          <w:rFonts w:eastAsia="黑体"/>
          <w:sz w:val="32"/>
          <w:szCs w:val="32"/>
        </w:rPr>
        <w:t>五、社会保险基金预算支出情况</w:t>
      </w:r>
    </w:p>
    <w:p>
      <w:pPr>
        <w:pStyle w:val="5"/>
        <w:widowControl/>
        <w:spacing w:line="600" w:lineRule="exact"/>
        <w:ind w:firstLine="640"/>
        <w:jc w:val="left"/>
        <w:rPr>
          <w:rFonts w:ascii="Times New Roman" w:hAnsi="Times New Roman" w:eastAsia="黑体"/>
          <w:sz w:val="32"/>
          <w:szCs w:val="32"/>
        </w:rPr>
      </w:pPr>
      <w:r>
        <w:rPr>
          <w:rFonts w:hint="eastAsia" w:ascii="Times New Roman" w:hAnsi="Times New Roman" w:eastAsia="黑体"/>
          <w:sz w:val="32"/>
          <w:szCs w:val="32"/>
        </w:rPr>
        <w:t>无</w:t>
      </w:r>
    </w:p>
    <w:p>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pPr>
        <w:pStyle w:val="5"/>
        <w:widowControl/>
        <w:ind w:firstLine="640"/>
        <w:rPr>
          <w:rFonts w:ascii="Times New Roman" w:hAnsi="Times New Roman" w:eastAsia="仿宋"/>
          <w:sz w:val="32"/>
          <w:szCs w:val="32"/>
        </w:rPr>
      </w:pPr>
      <w:r>
        <w:rPr>
          <w:rFonts w:hint="eastAsia" w:ascii="Times New Roman" w:hAnsi="Times New Roman" w:eastAsia="仿宋"/>
          <w:sz w:val="32"/>
          <w:szCs w:val="32"/>
        </w:rPr>
        <w:t>（一）产出指标完成情况分析。包括数量指标、质量指标、时效指标和成本指标。</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 xml:space="preserve">1、数量指标：基本完成 </w:t>
      </w:r>
      <w:r>
        <w:rPr>
          <w:rFonts w:hint="eastAsia" w:ascii="Times New Roman" w:hAnsi="Times New Roman" w:eastAsia="仿宋"/>
          <w:sz w:val="32"/>
          <w:szCs w:val="32"/>
          <w:lang w:eastAsia="zh-CN"/>
        </w:rPr>
        <w:t>2024</w:t>
      </w:r>
      <w:r>
        <w:rPr>
          <w:rFonts w:hint="eastAsia" w:ascii="Times New Roman" w:hAnsi="Times New Roman" w:eastAsia="仿宋"/>
          <w:sz w:val="32"/>
          <w:szCs w:val="32"/>
        </w:rPr>
        <w:t>年的工作任务。</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 xml:space="preserve">2、质量指标：基本按要求完成 </w:t>
      </w:r>
      <w:r>
        <w:rPr>
          <w:rFonts w:hint="eastAsia" w:ascii="Times New Roman" w:hAnsi="Times New Roman" w:eastAsia="仿宋"/>
          <w:sz w:val="32"/>
          <w:szCs w:val="32"/>
          <w:lang w:eastAsia="zh-CN"/>
        </w:rPr>
        <w:t>2024</w:t>
      </w:r>
      <w:r>
        <w:rPr>
          <w:rFonts w:hint="eastAsia" w:ascii="Times New Roman" w:hAnsi="Times New Roman" w:eastAsia="仿宋"/>
          <w:sz w:val="32"/>
          <w:szCs w:val="32"/>
        </w:rPr>
        <w:t>年工作任务。</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3、时效指标：基本在绩效目标确定的时限内完成了各项工作。</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4、成本指标：工作成本控制良好。</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（二）效益指标完成情况分析。包括经济效益、社会效益、生态效益和可持续影响。</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lang w:eastAsia="zh-CN"/>
        </w:rPr>
        <w:t>2024</w:t>
      </w:r>
      <w:r>
        <w:rPr>
          <w:rFonts w:hint="eastAsia" w:ascii="Times New Roman" w:hAnsi="Times New Roman" w:eastAsia="仿宋"/>
          <w:sz w:val="32"/>
          <w:szCs w:val="32"/>
        </w:rPr>
        <w:t>年，我单位较好地完成了年初制定的工作目标任务，各个项目有序开展，整体支出平稳，较好地实现社会效益和可持续效益目标。</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（三）满意度指标完成情况分析。</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我单位对所有项目实施和整体社会效益及满意度等各项指标进行调查，</w:t>
      </w:r>
      <w:r>
        <w:rPr>
          <w:rFonts w:hint="eastAsia" w:ascii="Times New Roman" w:hAnsi="Times New Roman" w:eastAsia="仿宋"/>
          <w:sz w:val="32"/>
          <w:szCs w:val="32"/>
          <w:lang w:val="en-US" w:eastAsia="zh-CN"/>
        </w:rPr>
        <w:t>群</w:t>
      </w:r>
      <w:r>
        <w:rPr>
          <w:rFonts w:hint="eastAsia" w:ascii="Times New Roman" w:hAnsi="Times New Roman" w:eastAsia="仿宋"/>
          <w:sz w:val="32"/>
          <w:szCs w:val="32"/>
        </w:rPr>
        <w:t>众对项目实施满意度达9</w:t>
      </w:r>
      <w:r>
        <w:rPr>
          <w:rFonts w:hint="eastAsia" w:ascii="Times New Roman" w:hAnsi="Times New Roman" w:eastAsia="仿宋"/>
          <w:sz w:val="32"/>
          <w:szCs w:val="32"/>
          <w:lang w:val="en-US" w:eastAsia="zh-CN"/>
        </w:rPr>
        <w:t>0</w:t>
      </w:r>
      <w:r>
        <w:rPr>
          <w:rFonts w:hint="eastAsia" w:ascii="Times New Roman" w:hAnsi="Times New Roman" w:eastAsia="仿宋"/>
          <w:sz w:val="32"/>
          <w:szCs w:val="32"/>
        </w:rPr>
        <w:t>%，达到了预期效果。</w:t>
      </w:r>
    </w:p>
    <w:p>
      <w:pPr>
        <w:adjustRightInd w:val="0"/>
        <w:snapToGrid w:val="0"/>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总结归纳本部门“四本预算”支出的绩效目标完成情况，实现产出和取得效益的情况。围绕部门职责、行业发展规划，以预算资金管理为主线，总结部门资产管理和开展业务情况，从运行成本、管理效率、履职效能、社会效应、可持续发展能力和服务对象满意度等方面，衡量部门整体及核心业务实施效果。</w:t>
      </w:r>
    </w:p>
    <w:p>
      <w:pPr>
        <w:pStyle w:val="5"/>
        <w:widowControl/>
        <w:ind w:firstLine="640"/>
        <w:rPr>
          <w:rFonts w:eastAsia="黑体"/>
          <w:sz w:val="32"/>
          <w:szCs w:val="32"/>
        </w:rPr>
      </w:pPr>
      <w:r>
        <w:rPr>
          <w:rFonts w:eastAsia="黑体"/>
          <w:sz w:val="32"/>
          <w:szCs w:val="32"/>
        </w:rPr>
        <w:t>七、存在的问题及原因分析</w:t>
      </w:r>
    </w:p>
    <w:p>
      <w:pPr>
        <w:widowControl/>
        <w:ind w:firstLine="640" w:firstLineChars="200"/>
        <w:rPr>
          <w:rFonts w:hint="eastAsia" w:eastAsia="仿宋"/>
          <w:sz w:val="32"/>
          <w:szCs w:val="32"/>
          <w:lang w:val="en-US" w:eastAsia="zh-CN"/>
        </w:rPr>
      </w:pPr>
      <w:r>
        <w:rPr>
          <w:rFonts w:hint="eastAsia" w:eastAsia="仿宋"/>
          <w:sz w:val="32"/>
          <w:szCs w:val="32"/>
          <w:lang w:val="en-US" w:eastAsia="zh-CN"/>
        </w:rPr>
        <w:t>无</w:t>
      </w:r>
    </w:p>
    <w:p>
      <w:pPr>
        <w:widowControl/>
        <w:numPr>
          <w:ilvl w:val="0"/>
          <w:numId w:val="4"/>
        </w:numPr>
        <w:ind w:firstLine="640" w:firstLineChars="200"/>
        <w:rPr>
          <w:rFonts w:ascii="Times New Roman" w:hAnsi="Times New Roman" w:eastAsia="黑体"/>
          <w:sz w:val="32"/>
          <w:szCs w:val="32"/>
        </w:rPr>
      </w:pPr>
      <w:r>
        <w:rPr>
          <w:rFonts w:ascii="Times New Roman" w:hAnsi="Times New Roman" w:eastAsia="黑体"/>
          <w:sz w:val="32"/>
          <w:szCs w:val="32"/>
        </w:rPr>
        <w:t>下一步改进措施</w:t>
      </w:r>
    </w:p>
    <w:p>
      <w:pPr>
        <w:adjustRightInd w:val="0"/>
        <w:snapToGrid w:val="0"/>
        <w:spacing w:line="540" w:lineRule="exact"/>
        <w:ind w:firstLine="640" w:firstLineChars="200"/>
        <w:rPr>
          <w:rFonts w:ascii="Times New Roman" w:hAnsi="Times New Roman" w:eastAsia="仿宋_GB2312"/>
          <w:sz w:val="32"/>
          <w:szCs w:val="32"/>
        </w:rPr>
      </w:pPr>
      <w:r>
        <w:rPr>
          <w:rFonts w:ascii="Times New Roman" w:hAnsi="Times New Roman" w:eastAsia="仿宋_GB2312"/>
          <w:snapToGrid w:val="0"/>
          <w:sz w:val="32"/>
          <w:szCs w:val="32"/>
        </w:rPr>
        <w:t>继续加强专项资金的规范使用应完善措施，安排专职会计人员建立对项目单位专项资金使用管理的定期检查制度，完善内部控制制度、费用支出报账程序，杜绝挪用、虚列支出现象的发生。保证项目执行进度与计划相符，确保项目目标的实现，提高资金使用效益。</w:t>
      </w:r>
    </w:p>
    <w:p>
      <w:pPr>
        <w:widowControl/>
        <w:ind w:firstLine="640" w:firstLineChars="200"/>
        <w:rPr>
          <w:rFonts w:ascii="黑体" w:hAnsi="黑体" w:eastAsia="黑体" w:cs="黑体"/>
          <w:kern w:val="0"/>
          <w:sz w:val="32"/>
          <w:szCs w:val="32"/>
        </w:rPr>
      </w:pPr>
      <w:r>
        <w:rPr>
          <w:rFonts w:ascii="Times New Roman" w:hAnsi="Times New Roman" w:eastAsia="黑体"/>
          <w:sz w:val="32"/>
          <w:szCs w:val="32"/>
        </w:rPr>
        <w:t>九、其他需要说明的情况</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无。</w:t>
      </w: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Pr>
        <w:ind w:right="640"/>
        <w:rPr>
          <w:rFonts w:hint="eastAsia" w:ascii="黑体" w:hAnsi="黑体" w:eastAsia="黑体" w:cs="黑体"/>
          <w:kern w:val="0"/>
          <w:sz w:val="32"/>
          <w:szCs w:val="32"/>
        </w:rPr>
      </w:pPr>
    </w:p>
    <w:p/>
    <w:p>
      <w:pPr>
        <w:bidi w:val="0"/>
        <w:rPr>
          <w:rFonts w:ascii="Calibri" w:hAnsi="Calibri" w:eastAsia="宋体" w:cs="Times New Roman"/>
          <w:kern w:val="2"/>
          <w:sz w:val="21"/>
          <w:szCs w:val="22"/>
          <w:lang w:val="en-US" w:eastAsia="zh-CN" w:bidi="ar-SA"/>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rPr>
      </w:pPr>
    </w:p>
    <w:p>
      <w:pPr>
        <w:widowControl/>
        <w:spacing w:line="600" w:lineRule="exact"/>
        <w:jc w:val="left"/>
        <w:rPr>
          <w:rFonts w:ascii="Times New Roman" w:hAnsi="Times New Roman" w:eastAsia="黑体"/>
          <w:sz w:val="32"/>
          <w:szCs w:val="32"/>
          <w:lang w:val="en-US" w:eastAsia="zh-CN"/>
        </w:rPr>
      </w:pPr>
    </w:p>
    <w:sectPr>
      <w:pgSz w:w="11906" w:h="16838"/>
      <w:pgMar w:top="1240" w:right="1266" w:bottom="1318" w:left="7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C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Microsoft YaHei UI">
    <w:panose1 w:val="020B0503020204020204"/>
    <w:charset w:val="86"/>
    <w:family w:val="auto"/>
    <w:pitch w:val="default"/>
    <w:sig w:usb0="80000287" w:usb1="28C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37ACB42"/>
    <w:multiLevelType w:val="singleLevel"/>
    <w:tmpl w:val="E37ACB42"/>
    <w:lvl w:ilvl="0" w:tentative="0">
      <w:start w:val="8"/>
      <w:numFmt w:val="chineseCounting"/>
      <w:suff w:val="nothing"/>
      <w:lvlText w:val="%1、"/>
      <w:lvlJc w:val="left"/>
      <w:rPr>
        <w:rFonts w:hint="eastAsia"/>
      </w:rPr>
    </w:lvl>
  </w:abstractNum>
  <w:abstractNum w:abstractNumId="1">
    <w:nsid w:val="F5F29FA5"/>
    <w:multiLevelType w:val="singleLevel"/>
    <w:tmpl w:val="F5F29FA5"/>
    <w:lvl w:ilvl="0" w:tentative="0">
      <w:start w:val="4"/>
      <w:numFmt w:val="chineseCounting"/>
      <w:suff w:val="nothing"/>
      <w:lvlText w:val="%1、"/>
      <w:lvlJc w:val="left"/>
      <w:rPr>
        <w:rFonts w:hint="eastAsia"/>
      </w:rPr>
    </w:lvl>
  </w:abstractNum>
  <w:abstractNum w:abstractNumId="2">
    <w:nsid w:val="1D3DA041"/>
    <w:multiLevelType w:val="singleLevel"/>
    <w:tmpl w:val="1D3DA041"/>
    <w:lvl w:ilvl="0" w:tentative="0">
      <w:start w:val="1"/>
      <w:numFmt w:val="chineseCounting"/>
      <w:suff w:val="nothing"/>
      <w:lvlText w:val="%1、"/>
      <w:lvlJc w:val="left"/>
      <w:rPr>
        <w:rFonts w:hint="eastAsia"/>
      </w:rPr>
    </w:lvl>
  </w:abstractNum>
  <w:abstractNum w:abstractNumId="3">
    <w:nsid w:val="4FEEA584"/>
    <w:multiLevelType w:val="singleLevel"/>
    <w:tmpl w:val="4FEEA584"/>
    <w:lvl w:ilvl="0" w:tentative="0">
      <w:start w:val="1"/>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0YjJmMDZmMTQ2MjIwOTczYzdmNzllZGE0ZTQxM2IifQ=="/>
  </w:docVars>
  <w:rsids>
    <w:rsidRoot w:val="00000000"/>
    <w:rsid w:val="00377C14"/>
    <w:rsid w:val="01D67EA1"/>
    <w:rsid w:val="17D910DE"/>
    <w:rsid w:val="1B610D46"/>
    <w:rsid w:val="3B6E0E96"/>
    <w:rsid w:val="43AB3CCA"/>
    <w:rsid w:val="474B7E0E"/>
    <w:rsid w:val="47733071"/>
    <w:rsid w:val="47BA5AAF"/>
    <w:rsid w:val="4A722CD6"/>
    <w:rsid w:val="53760D58"/>
    <w:rsid w:val="59DB5026"/>
    <w:rsid w:val="64B93DFA"/>
    <w:rsid w:val="71A010A2"/>
    <w:rsid w:val="7A570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kern w:val="0"/>
      <w:sz w:val="24"/>
    </w:rPr>
  </w:style>
  <w:style w:type="paragraph" w:styleId="5">
    <w:name w:val="List Paragraph"/>
    <w:basedOn w:val="1"/>
    <w:qFormat/>
    <w:uiPriority w:val="99"/>
    <w:pPr>
      <w:ind w:firstLine="420" w:firstLineChars="200"/>
    </w:pPr>
    <w:rPr>
      <w:rFonts w:ascii="Times New Roman" w:hAnsi="Times New Roman"/>
      <w:szCs w:val="24"/>
    </w:rPr>
  </w:style>
  <w:style w:type="paragraph" w:styleId="6">
    <w:name w:val="No Spacing"/>
    <w:qFormat/>
    <w:uiPriority w:val="1"/>
    <w:pPr>
      <w:adjustRightInd w:val="0"/>
      <w:snapToGrid w:val="0"/>
    </w:pPr>
    <w:rPr>
      <w:rFonts w:ascii="Tahoma" w:hAnsi="Tahoma" w:eastAsia="微软雅黑" w:cs="Times New Roman"/>
      <w:sz w:val="22"/>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12475</Words>
  <Characters>13907</Characters>
  <Lines>0</Lines>
  <Paragraphs>0</Paragraphs>
  <TotalTime>26</TotalTime>
  <ScaleCrop>false</ScaleCrop>
  <LinksUpToDate>false</LinksUpToDate>
  <CharactersWithSpaces>13995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2024-03-25T03:43:00Z</dcterms:created>
  <dc:creator>Administrator</dc:creator>
  <cp:lastModifiedBy>Administrator</cp:lastModifiedBy>
  <dcterms:modified xsi:type="dcterms:W3CDTF">2025-02-28T06:37:50Z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90EAC69A3D734409A254CA2E978746A9_12</vt:lpwstr>
  </property>
</Properties>
</file>